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EF2" w:rsidRDefault="00AF2AD3" w:rsidP="001E2630">
      <w:pPr>
        <w:pStyle w:val="sangria"/>
        <w:shd w:val="clear" w:color="auto" w:fill="FFFFFF"/>
        <w:spacing w:before="0" w:beforeAutospacing="0" w:after="0" w:afterAutospacing="0" w:line="360" w:lineRule="atLeast"/>
        <w:jc w:val="center"/>
        <w:rPr>
          <w:rFonts w:ascii="Arial" w:hAnsi="Arial" w:cs="Arial"/>
          <w:b/>
          <w:bCs/>
          <w:color w:val="404040" w:themeColor="text1" w:themeTint="BF"/>
          <w:sz w:val="54"/>
          <w:szCs w:val="54"/>
        </w:rPr>
      </w:pPr>
      <w:sdt>
        <w:sdtPr>
          <w:rPr>
            <w:rFonts w:ascii="Arial" w:hAnsi="Arial" w:cs="Arial"/>
            <w:b/>
            <w:bCs/>
            <w:color w:val="404040" w:themeColor="text1" w:themeTint="BF"/>
            <w:sz w:val="54"/>
            <w:szCs w:val="54"/>
          </w:rPr>
          <w:id w:val="2063991158"/>
          <w:placeholder>
            <w:docPart w:val="ACE6CF2EB85C4E04B010679F6204D03D"/>
          </w:placeholder>
        </w:sdtPr>
        <w:sdtEndPr/>
        <w:sdtContent>
          <w:r w:rsidR="001E2630" w:rsidRPr="001E2630">
            <w:rPr>
              <w:rFonts w:ascii="Arial" w:hAnsi="Arial" w:cs="Arial"/>
              <w:b/>
              <w:bCs/>
              <w:color w:val="404040" w:themeColor="text1" w:themeTint="BF"/>
              <w:sz w:val="54"/>
              <w:szCs w:val="54"/>
            </w:rPr>
            <w:t>Lic. Aroldo Francisco Perez Hernandez</w:t>
          </w:r>
        </w:sdtContent>
      </w:sdt>
    </w:p>
    <w:p w:rsidR="001E2630" w:rsidRPr="0003078A" w:rsidRDefault="001E2630"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1E2630">
        <w:rPr>
          <w:rFonts w:ascii="Arial" w:hAnsi="Arial" w:cs="Arial"/>
          <w:shd w:val="clear" w:color="auto" w:fill="FFFFFF"/>
        </w:rPr>
        <w:t>Coordinador de Asuntos Internos</w:t>
      </w:r>
      <w:r w:rsidR="000972E0" w:rsidRPr="008425DA">
        <w:rPr>
          <w:rFonts w:ascii="Arial" w:hAnsi="Arial" w:cs="Arial"/>
          <w:shd w:val="clear" w:color="auto" w:fill="FFFFFF"/>
        </w:rPr>
        <w:t xml:space="preserve"> en la </w:t>
      </w:r>
      <w:r w:rsidR="006F08F1" w:rsidRPr="006F08F1">
        <w:rPr>
          <w:rFonts w:ascii="Arial" w:hAnsi="Arial" w:cs="Arial"/>
          <w:shd w:val="clear" w:color="auto" w:fill="FFFFFF"/>
        </w:rPr>
        <w:t>Oficina de la Secretaría de 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1E2630">
        <w:rPr>
          <w:rFonts w:ascii="Arial" w:hAnsi="Arial" w:cs="Arial"/>
          <w:shd w:val="clear" w:color="auto" w:fill="FFFFFF"/>
        </w:rPr>
        <w:t>octubre</w:t>
      </w:r>
      <w:r w:rsidR="00B50293" w:rsidRPr="008425DA">
        <w:rPr>
          <w:rFonts w:ascii="Arial" w:hAnsi="Arial" w:cs="Arial"/>
          <w:shd w:val="clear" w:color="auto" w:fill="FFFFFF"/>
        </w:rPr>
        <w:t xml:space="preserve"> de 202</w:t>
      </w:r>
      <w:r w:rsidR="006F08F1">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9F4DA0" w:rsidRPr="006F08F1" w:rsidRDefault="001E2630" w:rsidP="006F08F1">
      <w:pPr>
        <w:pStyle w:val="sangria"/>
        <w:shd w:val="clear" w:color="auto" w:fill="FFFFFF"/>
        <w:spacing w:after="225" w:line="360" w:lineRule="atLeast"/>
        <w:rPr>
          <w:rStyle w:val="Hipervnculo"/>
          <w:rFonts w:ascii="Arial" w:hAnsi="Arial" w:cs="Arial"/>
          <w:color w:val="auto"/>
          <w:u w:val="none"/>
        </w:rPr>
      </w:pPr>
      <w:r w:rsidRPr="001E2630">
        <w:rPr>
          <w:rFonts w:ascii="Arial" w:hAnsi="Arial" w:cs="Arial"/>
        </w:rPr>
        <w:t>Licenciado en Derecho por la Facultad de Derecho y Criminología de la Universidad Autónoma de Nuevo León, egresado en el año 2020. Actualmente cursa una Maestría en Derecho Administrativo en la misma institución (2023-2024).</w:t>
      </w: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6F08F1" w:rsidRPr="006F08F1" w:rsidRDefault="001E2630" w:rsidP="001E2630">
      <w:pPr>
        <w:pStyle w:val="sangria"/>
        <w:shd w:val="clear" w:color="auto" w:fill="FFFFFF"/>
        <w:spacing w:after="225" w:line="360" w:lineRule="atLeast"/>
        <w:jc w:val="both"/>
        <w:rPr>
          <w:rFonts w:ascii="Arial" w:hAnsi="Arial" w:cs="Arial"/>
        </w:rPr>
      </w:pPr>
      <w:r w:rsidRPr="001E2630">
        <w:rPr>
          <w:rFonts w:ascii="Arial" w:hAnsi="Arial" w:cs="Arial"/>
        </w:rPr>
        <w:t xml:space="preserve">Ha participado en capacitaciones orientadas al análisis y aplicación de normativas en el ámbito administrativo y en la interpretación de leyes y reglamentos para asegurar el debido proceso y la observancia de principios de legalidad, transparencia y rendición de cuentas en la gestión pública. Asimismo, ha desarrollado competencias avanzadas en la identificación y gestión de faltas administrativas, implementación de procedimientos disciplinarios y evaluación de sanciones, lo que le ha permitido fortalecer sus habilidades para asegurar la responsabilidad y profesionalismo en el servicio público, </w:t>
      </w:r>
      <w:r>
        <w:rPr>
          <w:rFonts w:ascii="Arial" w:hAnsi="Arial" w:cs="Arial"/>
        </w:rPr>
        <w:t>conforme al marco legal vigente.</w:t>
      </w:r>
    </w:p>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sdt>
      <w:sdtPr>
        <w:rPr>
          <w:rFonts w:ascii="Arial" w:hAnsi="Arial" w:cs="Arial"/>
          <w:bCs/>
          <w:szCs w:val="26"/>
        </w:rPr>
        <w:id w:val="-1504349750"/>
        <w:placeholder>
          <w:docPart w:val="0D266DD09D934F3C845BC9EE2C9C5E1D"/>
        </w:placeholder>
        <w:text w:multiLine="1"/>
      </w:sdtPr>
      <w:sdtContent>
        <w:p w:rsidR="001E2630" w:rsidRPr="001E2630" w:rsidRDefault="00C6393D" w:rsidP="00C6393D">
          <w:pPr>
            <w:pStyle w:val="sangria"/>
            <w:shd w:val="clear" w:color="auto" w:fill="FFFFFF"/>
            <w:spacing w:after="0" w:line="360" w:lineRule="atLeast"/>
            <w:rPr>
              <w:rFonts w:ascii="Arial" w:hAnsi="Arial" w:cs="Arial"/>
              <w:bCs/>
              <w:szCs w:val="26"/>
            </w:rPr>
          </w:pPr>
          <w:r w:rsidRPr="00C6393D">
            <w:rPr>
              <w:rFonts w:ascii="Arial" w:hAnsi="Arial" w:cs="Arial"/>
              <w:bCs/>
              <w:szCs w:val="26"/>
            </w:rPr>
            <w:t xml:space="preserve">Actualmente y desde diciembre de 2022 se encuentra como Abogado Litigante, Bortoni Reyes y Asociados </w:t>
          </w:r>
          <w:r w:rsidRPr="00C6393D">
            <w:rPr>
              <w:rFonts w:ascii="Arial" w:hAnsi="Arial" w:cs="Arial"/>
              <w:bCs/>
              <w:szCs w:val="26"/>
            </w:rPr>
            <w:br/>
            <w:t xml:space="preserve">En su cargo como abogado litigante,  brinda representación legal integral en litigios civiles y mercantiles, desarrollando estrategias procesales y defendiendo los intereses de sus clientes en todas las etapas del proceso judicial. Sus responsabilidades incluyen la redacción de demandas, contestaciones, así como </w:t>
          </w:r>
          <w:r w:rsidRPr="00C6393D">
            <w:rPr>
              <w:rFonts w:ascii="Arial" w:hAnsi="Arial" w:cs="Arial"/>
              <w:bCs/>
              <w:szCs w:val="26"/>
            </w:rPr>
            <w:lastRenderedPageBreak/>
            <w:t>la presentación de pruebas y argumentos en audiencias. Ha demostrado gran habilidad en la negociación de acuerdos favorables y en la interpretación precisa del marco normativo aplicable, consolidándose como un profesional efectivo en la resolución de conflictos legales complejos.</w:t>
          </w:r>
          <w:r w:rsidRPr="00C6393D">
            <w:rPr>
              <w:rFonts w:ascii="Arial" w:hAnsi="Arial" w:cs="Arial"/>
              <w:bCs/>
              <w:szCs w:val="26"/>
            </w:rPr>
            <w:br/>
            <w:t>Para después integrarse a la Unidad Anticorrupción del Poder Ejecutivo del Estado de Nuevo León, como abogado de junio de 2022 a diciembre de 2022.</w:t>
          </w:r>
          <w:r>
            <w:rPr>
              <w:rFonts w:ascii="Arial" w:hAnsi="Arial" w:cs="Arial"/>
              <w:bCs/>
              <w:szCs w:val="26"/>
            </w:rPr>
            <w:br/>
          </w:r>
          <w:r w:rsidRPr="00C6393D">
            <w:rPr>
              <w:rFonts w:ascii="Arial" w:hAnsi="Arial" w:cs="Arial"/>
              <w:bCs/>
              <w:szCs w:val="26"/>
            </w:rPr>
            <w:t>Durante su desempeño en la Unidad Anticorrupción,  jugó un papel clave en la investigación y análisis de casos de corrupción en el ámbito de la administración pública estatal. Su labor incluyó la evaluación del cumplimiento normativo de servidores públicos, la recopilación y análisis de pruebas, y la coordinación de esfuerzos interinstitucionales para fortalecer los mecanismos de transparencia y rendición de cuentas. Asimismo, colaboró en la elaboración de informes detallados para el seguimiento de casos, promoviendo la integridad y la conformidad con las disposiciones legales en el servicio público.</w:t>
          </w:r>
          <w:r>
            <w:rPr>
              <w:rFonts w:ascii="Arial" w:hAnsi="Arial" w:cs="Arial"/>
              <w:bCs/>
              <w:szCs w:val="26"/>
            </w:rPr>
            <w:br/>
          </w:r>
          <w:r w:rsidRPr="00C6393D">
            <w:rPr>
              <w:rFonts w:ascii="Arial" w:hAnsi="Arial" w:cs="Arial"/>
              <w:bCs/>
              <w:szCs w:val="26"/>
            </w:rPr>
            <w:t>De marzo de 2020 a junio de 2022 se desempeñó como Coordinador Jurídico, Malvina Soluciones y Proyectos Empresariales S. de R.L. de C.V., En su rol como Coordinador Jurídico, lideró el área legal de la empresa, encargándose de la supervisión de la elaboración y revisión de contratos, así como de brindar asesoría para la mitigación de riesgos legales asociados con las actividades empresariales. Entre sus funciones destacaba la interpretación de normativas aplicables al sector, la redacción de opiniones legales, y la representación de la empresa ante instancias administrativas y judiciales cuando era requerido. Su liderazgo en la implementación de políticas de cumplimiento y su enfoque preventivo contribuyeron a establecer un marco de actuación alineado con los objetivos estratégicos de la empresa y a garantizar la seguridad jurídica en sus operaciones.</w:t>
          </w:r>
          <w:r w:rsidRPr="00C6393D">
            <w:rPr>
              <w:rFonts w:ascii="Arial" w:hAnsi="Arial" w:cs="Arial"/>
              <w:bCs/>
              <w:szCs w:val="26"/>
            </w:rPr>
            <w:br/>
            <w:t xml:space="preserve">Bortoni Reyes y Asociados </w:t>
          </w:r>
          <w:r w:rsidRPr="00C6393D">
            <w:rPr>
              <w:rFonts w:ascii="Arial" w:hAnsi="Arial" w:cs="Arial"/>
              <w:bCs/>
              <w:szCs w:val="26"/>
            </w:rPr>
            <w:br/>
          </w:r>
        </w:p>
      </w:sdtContent>
    </w:sdt>
    <w:p w:rsidR="00D12912" w:rsidRPr="007C784C" w:rsidRDefault="00D12912" w:rsidP="001E2630">
      <w:pPr>
        <w:pStyle w:val="sangria"/>
        <w:shd w:val="clear" w:color="auto" w:fill="FFFFFF"/>
        <w:spacing w:after="0" w:line="360" w:lineRule="atLeast"/>
        <w:rPr>
          <w:rFonts w:ascii="Arial" w:hAnsi="Arial" w:cs="Arial"/>
          <w:bCs/>
          <w:szCs w:val="26"/>
        </w:rPr>
      </w:pPr>
    </w:p>
    <w:sectPr w:rsidR="00D12912" w:rsidRPr="007C784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AD3" w:rsidRDefault="00AF2AD3" w:rsidP="00F21CF2">
      <w:pPr>
        <w:spacing w:after="0" w:line="240" w:lineRule="auto"/>
      </w:pPr>
      <w:r>
        <w:separator/>
      </w:r>
    </w:p>
  </w:endnote>
  <w:endnote w:type="continuationSeparator" w:id="0">
    <w:p w:rsidR="00AF2AD3" w:rsidRDefault="00AF2AD3"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AD3" w:rsidRDefault="00AF2AD3" w:rsidP="00F21CF2">
      <w:pPr>
        <w:spacing w:after="0" w:line="240" w:lineRule="auto"/>
      </w:pPr>
      <w:r>
        <w:separator/>
      </w:r>
    </w:p>
  </w:footnote>
  <w:footnote w:type="continuationSeparator" w:id="0">
    <w:p w:rsidR="00AF2AD3" w:rsidRDefault="00AF2AD3"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91518"/>
    <w:multiLevelType w:val="multilevel"/>
    <w:tmpl w:val="F6A6E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03A01"/>
    <w:rsid w:val="0014333A"/>
    <w:rsid w:val="00151E23"/>
    <w:rsid w:val="00175202"/>
    <w:rsid w:val="001A6337"/>
    <w:rsid w:val="001E2630"/>
    <w:rsid w:val="0022285E"/>
    <w:rsid w:val="00225A47"/>
    <w:rsid w:val="0026338B"/>
    <w:rsid w:val="00265675"/>
    <w:rsid w:val="00284239"/>
    <w:rsid w:val="00293216"/>
    <w:rsid w:val="00307037"/>
    <w:rsid w:val="00317EF2"/>
    <w:rsid w:val="00330051"/>
    <w:rsid w:val="00386AB0"/>
    <w:rsid w:val="003C7BC9"/>
    <w:rsid w:val="003D2972"/>
    <w:rsid w:val="003E55E1"/>
    <w:rsid w:val="00480B20"/>
    <w:rsid w:val="0049389C"/>
    <w:rsid w:val="004C4638"/>
    <w:rsid w:val="005042B0"/>
    <w:rsid w:val="00537335"/>
    <w:rsid w:val="00537572"/>
    <w:rsid w:val="005B153A"/>
    <w:rsid w:val="005E3F1E"/>
    <w:rsid w:val="006034D6"/>
    <w:rsid w:val="00631F43"/>
    <w:rsid w:val="00643F4F"/>
    <w:rsid w:val="00646931"/>
    <w:rsid w:val="006721DD"/>
    <w:rsid w:val="006B100A"/>
    <w:rsid w:val="006C7CBF"/>
    <w:rsid w:val="006F08F1"/>
    <w:rsid w:val="00721122"/>
    <w:rsid w:val="0073339D"/>
    <w:rsid w:val="007B0DA3"/>
    <w:rsid w:val="007C784C"/>
    <w:rsid w:val="00817C6B"/>
    <w:rsid w:val="008425DA"/>
    <w:rsid w:val="00846648"/>
    <w:rsid w:val="00870053"/>
    <w:rsid w:val="00914B08"/>
    <w:rsid w:val="009E0555"/>
    <w:rsid w:val="009F4DA0"/>
    <w:rsid w:val="00A16843"/>
    <w:rsid w:val="00A674B9"/>
    <w:rsid w:val="00AD1ABC"/>
    <w:rsid w:val="00AF2AD3"/>
    <w:rsid w:val="00B50293"/>
    <w:rsid w:val="00B61CF8"/>
    <w:rsid w:val="00BA733D"/>
    <w:rsid w:val="00BC30A8"/>
    <w:rsid w:val="00BE6382"/>
    <w:rsid w:val="00BE751F"/>
    <w:rsid w:val="00C11A59"/>
    <w:rsid w:val="00C3170D"/>
    <w:rsid w:val="00C44C81"/>
    <w:rsid w:val="00C57090"/>
    <w:rsid w:val="00C6393D"/>
    <w:rsid w:val="00CD69CC"/>
    <w:rsid w:val="00D12912"/>
    <w:rsid w:val="00D16DF6"/>
    <w:rsid w:val="00D6535D"/>
    <w:rsid w:val="00D91643"/>
    <w:rsid w:val="00D94424"/>
    <w:rsid w:val="00DB7DA0"/>
    <w:rsid w:val="00DC6C34"/>
    <w:rsid w:val="00E24F42"/>
    <w:rsid w:val="00E77802"/>
    <w:rsid w:val="00EC7E73"/>
    <w:rsid w:val="00F21CF2"/>
    <w:rsid w:val="00F315A2"/>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E6CF2EB85C4E04B010679F6204D03D"/>
        <w:category>
          <w:name w:val="General"/>
          <w:gallery w:val="placeholder"/>
        </w:category>
        <w:types>
          <w:type w:val="bbPlcHdr"/>
        </w:types>
        <w:behaviors>
          <w:behavior w:val="content"/>
        </w:behaviors>
        <w:guid w:val="{C126D97F-A4BE-4ED1-83DF-6E0D56236B96}"/>
      </w:docPartPr>
      <w:docPartBody>
        <w:p w:rsidR="00B970AD" w:rsidRDefault="007573BA" w:rsidP="007573BA">
          <w:pPr>
            <w:pStyle w:val="ACE6CF2EB85C4E04B010679F6204D03D"/>
          </w:pPr>
          <w:r w:rsidRPr="009B74A9">
            <w:rPr>
              <w:rStyle w:val="Textodelmarcadordeposicin"/>
            </w:rPr>
            <w:t>Haga clic o pulse aquí para escribir texto.</w:t>
          </w:r>
        </w:p>
      </w:docPartBody>
    </w:docPart>
    <w:docPart>
      <w:docPartPr>
        <w:name w:val="0D266DD09D934F3C845BC9EE2C9C5E1D"/>
        <w:category>
          <w:name w:val="General"/>
          <w:gallery w:val="placeholder"/>
        </w:category>
        <w:types>
          <w:type w:val="bbPlcHdr"/>
        </w:types>
        <w:behaviors>
          <w:behavior w:val="content"/>
        </w:behaviors>
        <w:guid w:val="{E1CA7A39-E5BC-40F4-8070-93D31FD07AE3}"/>
      </w:docPartPr>
      <w:docPartBody>
        <w:p w:rsidR="00B970AD" w:rsidRDefault="007573BA" w:rsidP="007573BA">
          <w:pPr>
            <w:pStyle w:val="0D266DD09D934F3C845BC9EE2C9C5E1D"/>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BA"/>
    <w:rsid w:val="007573BA"/>
    <w:rsid w:val="00B970AD"/>
    <w:rsid w:val="00E71DB1"/>
    <w:rsid w:val="00F226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73BA"/>
    <w:rPr>
      <w:color w:val="808080"/>
    </w:rPr>
  </w:style>
  <w:style w:type="paragraph" w:customStyle="1" w:styleId="ACE6CF2EB85C4E04B010679F6204D03D">
    <w:name w:val="ACE6CF2EB85C4E04B010679F6204D03D"/>
    <w:rsid w:val="007573BA"/>
  </w:style>
  <w:style w:type="paragraph" w:customStyle="1" w:styleId="0D266DD09D934F3C845BC9EE2C9C5E1D">
    <w:name w:val="0D266DD09D934F3C845BC9EE2C9C5E1D"/>
    <w:rsid w:val="00757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E2625-2958-4A9D-AA56-F7911A07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530</Words>
  <Characters>2918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Carolina Rodriguez Salazar</dc:creator>
  <cp:lastModifiedBy>Amanda Nohemi Lopez Ortiz</cp:lastModifiedBy>
  <cp:revision>4</cp:revision>
  <cp:lastPrinted>2016-05-03T00:14:00Z</cp:lastPrinted>
  <dcterms:created xsi:type="dcterms:W3CDTF">2024-11-22T17:46:00Z</dcterms:created>
  <dcterms:modified xsi:type="dcterms:W3CDTF">2024-11-26T22:27:00Z</dcterms:modified>
</cp:coreProperties>
</file>