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9D" w:rsidRPr="00ED659D" w:rsidRDefault="00ED659D" w:rsidP="00ED659D">
      <w:pPr>
        <w:ind w:left="567" w:firstLine="142"/>
        <w:jc w:val="both"/>
        <w:rPr>
          <w:rFonts w:ascii="Cambria" w:hAnsi="Cambria" w:cstheme="minorHAnsi"/>
          <w:b/>
          <w:sz w:val="24"/>
          <w:szCs w:val="24"/>
        </w:rPr>
      </w:pPr>
    </w:p>
    <w:p w:rsidR="00ED659D" w:rsidRPr="00ED659D" w:rsidRDefault="00ED659D" w:rsidP="00ED659D">
      <w:pPr>
        <w:ind w:left="567" w:firstLine="142"/>
        <w:jc w:val="both"/>
        <w:rPr>
          <w:rFonts w:ascii="Cambria" w:hAnsi="Cambria" w:cstheme="minorHAnsi"/>
          <w:b/>
          <w:sz w:val="24"/>
          <w:szCs w:val="24"/>
        </w:rPr>
      </w:pPr>
    </w:p>
    <w:p w:rsidR="00ED659D" w:rsidRPr="00ED659D" w:rsidRDefault="00ED659D" w:rsidP="00ED659D">
      <w:pPr>
        <w:ind w:left="567"/>
        <w:jc w:val="both"/>
        <w:rPr>
          <w:rFonts w:ascii="Cambria" w:hAnsi="Cambria" w:cstheme="minorHAnsi"/>
          <w:b/>
          <w:sz w:val="24"/>
          <w:szCs w:val="24"/>
        </w:rPr>
      </w:pPr>
      <w:bookmarkStart w:id="0" w:name="_GoBack"/>
      <w:bookmarkEnd w:id="0"/>
      <w:r w:rsidRPr="00ED659D">
        <w:rPr>
          <w:rFonts w:ascii="Cambria" w:hAnsi="Cambria" w:cstheme="minorHAnsi"/>
          <w:b/>
          <w:sz w:val="24"/>
          <w:szCs w:val="24"/>
        </w:rPr>
        <w:t>REGLAMENTO DE LA ADMINISTRACIÓN PÚBLICA MUNICIPAL DE MONTERREY</w:t>
      </w:r>
    </w:p>
    <w:p w:rsidR="00ED659D" w:rsidRPr="00ED659D" w:rsidRDefault="00ED659D" w:rsidP="00ED659D">
      <w:pPr>
        <w:pStyle w:val="Default"/>
        <w:ind w:left="567" w:right="232"/>
        <w:jc w:val="both"/>
        <w:rPr>
          <w:rFonts w:ascii="Cambria" w:hAnsi="Cambria" w:cstheme="minorHAnsi"/>
        </w:rPr>
      </w:pPr>
    </w:p>
    <w:p w:rsidR="00ED659D" w:rsidRPr="00ED659D" w:rsidRDefault="00ED659D" w:rsidP="00ED659D">
      <w:pPr>
        <w:pStyle w:val="Default"/>
        <w:ind w:left="567" w:right="232"/>
        <w:jc w:val="both"/>
        <w:rPr>
          <w:rFonts w:ascii="Cambria" w:hAnsi="Cambria" w:cstheme="minorHAnsi"/>
        </w:rPr>
      </w:pP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  <w:r w:rsidRPr="00ED659D">
        <w:rPr>
          <w:rFonts w:ascii="Cambria" w:hAnsi="Cambria" w:cstheme="minorHAnsi"/>
        </w:rPr>
        <w:t xml:space="preserve">ARTÍCULO 96. La Dirección de Control Urbano tendrá a su cargo las siguientes atribuciones: </w:t>
      </w: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  <w:r w:rsidRPr="00ED659D">
        <w:rPr>
          <w:rFonts w:ascii="Cambria" w:hAnsi="Cambria" w:cstheme="minorHAnsi"/>
        </w:rPr>
        <w:t xml:space="preserve">I. Participar en la elaboración, revisión y ejecución de los planes y programas municipales de desarrollo urbano, de equilibrio ecológico y protección ambiental, tomando en consideración los criterios urbanísticos, ecológicos, de vivienda, recreación, vialidad y transporte; </w:t>
      </w: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  <w:r w:rsidRPr="00ED659D">
        <w:rPr>
          <w:rFonts w:ascii="Cambria" w:hAnsi="Cambria" w:cstheme="minorHAnsi"/>
        </w:rPr>
        <w:t xml:space="preserve">II. Emitir dictamen técnico dentro de los procedimientos que tienen como finalidad la obtención de licencias de construcción, edificación, uso de suelo, régimen de propiedad en condominio, subdivisiones, fusiones, parcelaciones, </w:t>
      </w:r>
      <w:proofErr w:type="spellStart"/>
      <w:r w:rsidRPr="00ED659D">
        <w:rPr>
          <w:rFonts w:ascii="Cambria" w:hAnsi="Cambria" w:cstheme="minorHAnsi"/>
        </w:rPr>
        <w:t>relotificaciones</w:t>
      </w:r>
      <w:proofErr w:type="spellEnd"/>
      <w:r w:rsidRPr="00ED659D">
        <w:rPr>
          <w:rFonts w:ascii="Cambria" w:hAnsi="Cambria" w:cstheme="minorHAnsi"/>
        </w:rPr>
        <w:t xml:space="preserve">, fraccionamientos, que conozca la Secretaría; </w:t>
      </w: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  <w:r w:rsidRPr="00ED659D">
        <w:rPr>
          <w:rFonts w:ascii="Cambria" w:hAnsi="Cambria" w:cstheme="minorHAnsi"/>
        </w:rPr>
        <w:t xml:space="preserve">III. Ejecutar las órdenes de inspección en materia de desarrollo urbano que sean emitidas por el Secretario; </w:t>
      </w: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  <w:r w:rsidRPr="00ED659D">
        <w:rPr>
          <w:rFonts w:ascii="Cambria" w:hAnsi="Cambria" w:cstheme="minorHAnsi"/>
        </w:rPr>
        <w:t xml:space="preserve">IV. Ejecutar las sanciones que sean impuestas en materia de desarrollo urbano por incurrir en violaciones a las leyes, reglamentos u ordenamientos de la materia; </w:t>
      </w: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  <w:r w:rsidRPr="00ED659D">
        <w:rPr>
          <w:rFonts w:ascii="Cambria" w:hAnsi="Cambria" w:cstheme="minorHAnsi"/>
        </w:rPr>
        <w:t xml:space="preserve">V. Asesorar al Secretario en la implementación y creación de reservas territoriales; </w:t>
      </w: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  <w:r w:rsidRPr="00ED659D">
        <w:rPr>
          <w:rFonts w:ascii="Cambria" w:hAnsi="Cambria" w:cstheme="minorHAnsi"/>
        </w:rPr>
        <w:t xml:space="preserve">VI. Emitir opinión en las declaratorias de reservas, destinos y usos que se derivan del Plan Director y de los planes parciales y sectoriales; </w:t>
      </w: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  <w:r w:rsidRPr="00ED659D">
        <w:rPr>
          <w:rFonts w:ascii="Cambria" w:hAnsi="Cambria" w:cstheme="minorHAnsi"/>
        </w:rPr>
        <w:t xml:space="preserve">VII. Difundir el contenido de los planes, programas, leyes y reglamentos en materia de desarrollo urbano ante el público en general, asociaciones, profesionales, instituciones y demás agrupaciones similares; </w:t>
      </w: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  <w:r w:rsidRPr="00ED659D">
        <w:rPr>
          <w:rFonts w:ascii="Cambria" w:hAnsi="Cambria" w:cstheme="minorHAnsi"/>
        </w:rPr>
        <w:t xml:space="preserve">VIII. Coordinar en conjunto con el Secretario el desarrollo de proyectos municipales de edificaciones y espacios urbanos que reporten un fuerte impacto sobre la ciudad; </w:t>
      </w: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  <w:r w:rsidRPr="00ED659D">
        <w:rPr>
          <w:rFonts w:ascii="Cambria" w:hAnsi="Cambria" w:cstheme="minorHAnsi"/>
        </w:rPr>
        <w:t xml:space="preserve">IX. Promover la participación en forma organizada de grupos de vecinos en la formulación, revisión y control de los Planes, Programas y proyectos de ordenamiento urbano; </w:t>
      </w: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  <w:r w:rsidRPr="00ED659D">
        <w:rPr>
          <w:rFonts w:ascii="Cambria" w:hAnsi="Cambria" w:cstheme="minorHAnsi"/>
        </w:rPr>
        <w:t xml:space="preserve">X. Atender solicitudes de vecinos en caso de reclamación por incompatibilidad de usos de suelo u otros problemas similares y proponer, si proceden acciones correctivas; </w:t>
      </w: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  <w:r w:rsidRPr="00ED659D">
        <w:rPr>
          <w:rFonts w:ascii="Cambria" w:hAnsi="Cambria" w:cstheme="minorHAnsi"/>
        </w:rPr>
        <w:t>XI. Emitir normas técnicas de construcción y de seguridad para edificaciones públicas y privadas; y</w:t>
      </w: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  <w:r w:rsidRPr="00ED659D">
        <w:rPr>
          <w:rFonts w:ascii="Cambria" w:hAnsi="Cambria" w:cstheme="minorHAnsi"/>
        </w:rPr>
        <w:t xml:space="preserve">XII. Las que le ordene el Secretario de Desarrollo Urbano y Ecología, y demás que las leyes, reglamentos municipales y otras disposiciones normativas le encomienden. </w:t>
      </w:r>
    </w:p>
    <w:p w:rsidR="00B86901" w:rsidRPr="00ED659D" w:rsidRDefault="00B86901" w:rsidP="00ED659D">
      <w:pPr>
        <w:pStyle w:val="Default"/>
        <w:ind w:left="567" w:right="232"/>
        <w:jc w:val="both"/>
        <w:rPr>
          <w:rFonts w:ascii="Cambria" w:hAnsi="Cambria" w:cstheme="minorHAnsi"/>
        </w:rPr>
      </w:pPr>
    </w:p>
    <w:p w:rsidR="00931657" w:rsidRPr="00ED659D" w:rsidRDefault="00931657" w:rsidP="00ED659D">
      <w:pPr>
        <w:ind w:left="567" w:right="232"/>
        <w:jc w:val="both"/>
        <w:rPr>
          <w:rFonts w:ascii="Cambria" w:hAnsi="Cambria" w:cstheme="minorHAnsi"/>
          <w:sz w:val="24"/>
          <w:szCs w:val="24"/>
        </w:rPr>
      </w:pPr>
    </w:p>
    <w:sectPr w:rsidR="00931657" w:rsidRPr="00ED659D" w:rsidSect="00FF126E">
      <w:pgSz w:w="12240" w:h="16340"/>
      <w:pgMar w:top="925" w:right="855" w:bottom="0" w:left="3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01"/>
    <w:rsid w:val="00931657"/>
    <w:rsid w:val="00B86901"/>
    <w:rsid w:val="00E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6B382"/>
  <w15:chartTrackingRefBased/>
  <w15:docId w15:val="{28DA77D5-DD80-4212-A85A-30425E52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59D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86901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Alfredo Davila Reyna</dc:creator>
  <cp:keywords/>
  <dc:description/>
  <cp:lastModifiedBy>Liliana Aglael Ramirez Perez</cp:lastModifiedBy>
  <cp:revision>2</cp:revision>
  <dcterms:created xsi:type="dcterms:W3CDTF">2020-06-29T15:21:00Z</dcterms:created>
  <dcterms:modified xsi:type="dcterms:W3CDTF">2020-06-29T17:07:00Z</dcterms:modified>
</cp:coreProperties>
</file>