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87" w:rsidRPr="00EC3887" w:rsidRDefault="00EC3887" w:rsidP="00EC3887">
      <w:pPr>
        <w:tabs>
          <w:tab w:val="left" w:pos="993"/>
        </w:tabs>
        <w:ind w:left="567" w:firstLine="284"/>
        <w:jc w:val="both"/>
        <w:rPr>
          <w:rFonts w:ascii="Cambria" w:hAnsi="Cambria" w:cstheme="minorHAnsi"/>
          <w:b/>
          <w:sz w:val="24"/>
          <w:szCs w:val="24"/>
        </w:rPr>
      </w:pPr>
      <w:r w:rsidRPr="00EC3887">
        <w:rPr>
          <w:rFonts w:ascii="Cambria" w:hAnsi="Cambria" w:cstheme="minorHAnsi"/>
          <w:b/>
          <w:sz w:val="24"/>
          <w:szCs w:val="24"/>
        </w:rPr>
        <w:t>REGLAMENTO DE LA ADMINISTRACIÓN PÚBLICA MUNICIPAL DE MONTERREY</w:t>
      </w:r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  <w:r w:rsidRPr="00EC3887">
        <w:rPr>
          <w:rFonts w:ascii="Cambria" w:hAnsi="Cambria"/>
        </w:rPr>
        <w:t xml:space="preserve">ARTÍCULO 98. La Dirección de Fraccionamientos y Regularizaciones tendrá a su cargo las siguientes atribuciones: </w:t>
      </w:r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  <w:r w:rsidRPr="00EC3887">
        <w:rPr>
          <w:rFonts w:ascii="Cambria" w:hAnsi="Cambria"/>
        </w:rPr>
        <w:t xml:space="preserve">I. Dictaminar respecto a la recepción y revisión de Fraccionamientos por parte del Municipio en coordinación con otras dependencias municipales; </w:t>
      </w:r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  <w:r w:rsidRPr="00EC3887">
        <w:rPr>
          <w:rFonts w:ascii="Cambria" w:hAnsi="Cambria"/>
        </w:rPr>
        <w:t xml:space="preserve">II. Dictaminar respecto a las factibilidades y lineamientos urbanísticos que se emitan en la Secretaría; </w:t>
      </w:r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  <w:r w:rsidRPr="00EC3887">
        <w:rPr>
          <w:rFonts w:ascii="Cambria" w:hAnsi="Cambria"/>
        </w:rPr>
        <w:t xml:space="preserve">III. Supervisar el proceso de ejecución de las obras de urbanización establecidas en la autorización de fraccionamientos; y </w:t>
      </w:r>
      <w:bookmarkStart w:id="0" w:name="_GoBack"/>
      <w:bookmarkEnd w:id="0"/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</w:p>
    <w:p w:rsidR="00911A47" w:rsidRPr="00EC3887" w:rsidRDefault="00911A47" w:rsidP="00911A47">
      <w:pPr>
        <w:pStyle w:val="Default"/>
        <w:ind w:left="851" w:right="1224"/>
        <w:jc w:val="both"/>
        <w:rPr>
          <w:rFonts w:ascii="Cambria" w:hAnsi="Cambria"/>
        </w:rPr>
      </w:pPr>
      <w:r w:rsidRPr="00EC3887">
        <w:rPr>
          <w:rFonts w:ascii="Cambria" w:hAnsi="Cambria"/>
        </w:rPr>
        <w:t xml:space="preserve">IV. Las que le ordene el Secretario de Desarrollo Urbano y Ecología y demás que las leyes, reglamentos municipales y otras disposiciones normativas le encomienden. </w:t>
      </w:r>
    </w:p>
    <w:p w:rsidR="00931657" w:rsidRPr="00EC3887" w:rsidRDefault="00931657" w:rsidP="00911A47">
      <w:pPr>
        <w:ind w:left="851" w:right="1224"/>
        <w:jc w:val="both"/>
        <w:rPr>
          <w:rFonts w:ascii="Cambria" w:hAnsi="Cambria"/>
          <w:sz w:val="24"/>
          <w:szCs w:val="24"/>
        </w:rPr>
      </w:pPr>
    </w:p>
    <w:sectPr w:rsidR="00931657" w:rsidRPr="00EC3887" w:rsidSect="000D5D04">
      <w:pgSz w:w="12240" w:h="16340"/>
      <w:pgMar w:top="925" w:right="855" w:bottom="0" w:left="3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7"/>
    <w:rsid w:val="00911A47"/>
    <w:rsid w:val="00931657"/>
    <w:rsid w:val="00E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8446D-F9F0-447F-9A60-89B81A33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88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1A47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Alfredo Davila Reyna</dc:creator>
  <cp:keywords/>
  <dc:description/>
  <cp:lastModifiedBy>Liliana Aglael Ramirez Perez</cp:lastModifiedBy>
  <cp:revision>2</cp:revision>
  <dcterms:created xsi:type="dcterms:W3CDTF">2020-06-29T15:30:00Z</dcterms:created>
  <dcterms:modified xsi:type="dcterms:W3CDTF">2020-06-29T17:08:00Z</dcterms:modified>
</cp:coreProperties>
</file>