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REGLAMENTO DE LA ADMINISTRACIÓN PÚBLICA MUNICIPAL DE MONTERREY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 xml:space="preserve">ARTÍCULO   106.  Corresponden a la Dirección   para   </w:t>
      </w:r>
      <w:proofErr w:type="gramStart"/>
      <w:r w:rsidRPr="00456E46">
        <w:rPr>
          <w:rFonts w:cstheme="minorHAnsi"/>
        </w:rPr>
        <w:t>una  Movilidad</w:t>
      </w:r>
      <w:proofErr w:type="gramEnd"/>
      <w:r w:rsidRPr="00456E46">
        <w:rPr>
          <w:rFonts w:cstheme="minorHAnsi"/>
        </w:rPr>
        <w:t xml:space="preserve">   Sostenible,   las obligaciones y atribuciones siguientes: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 xml:space="preserve">I.  Proponer y </w:t>
      </w:r>
      <w:proofErr w:type="gramStart"/>
      <w:r w:rsidRPr="00456E46">
        <w:rPr>
          <w:rFonts w:cstheme="minorHAnsi"/>
        </w:rPr>
        <w:t>ejecutar  estrategias</w:t>
      </w:r>
      <w:proofErr w:type="gramEnd"/>
      <w:r w:rsidRPr="00456E46">
        <w:rPr>
          <w:rFonts w:cstheme="minorHAnsi"/>
        </w:rPr>
        <w:t>,  programas  y  proyectos  para  la  movilidad  eficiente, integrada, accesible, segura y sostenible; fomentando y priorizando el uso del transporte público y los modos no motorizados;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II. Revisar y validar la procedencia de los estudios de impacto de movilidad en el ámbito de su competencia y, elaborar las opiniones técnicas o dictámenes para la realización de proyectos, obra y actividades por parte de particulares, de conformidad con las disposiciones jurídicas aplicables;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 xml:space="preserve">III.  Dirigir </w:t>
      </w:r>
      <w:proofErr w:type="gramStart"/>
      <w:r w:rsidRPr="00456E46">
        <w:rPr>
          <w:rFonts w:cstheme="minorHAnsi"/>
        </w:rPr>
        <w:t>programas  y</w:t>
      </w:r>
      <w:proofErr w:type="gramEnd"/>
      <w:r w:rsidRPr="00456E46">
        <w:rPr>
          <w:rFonts w:cstheme="minorHAnsi"/>
        </w:rPr>
        <w:t xml:space="preserve">  campañas  de  cultura de  movilidad, en  coordinación  con  otras dependencias y entidades, que fomenten la prevención de los hechos de tránsito y cambios de hábitos hacia una movilidad sustentable;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IV. Elaborar estudios y proyectos de ingeniería de tránsito con el propósito de mejorar las condiciones de movilidad peatonal y vehicular a corto, mediano y largo plazo;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V. Realizar estudios y determinar vías exclusivas o prioritarias para algún grupo de usuarios de la vía;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VI. Promover en las vías existentes y en los nuevos fraccionamientos y desarrollos urbanos, la construcción de vías peatonales y ciclistas, conforme a los estudios que al efecto se realicen, a fin de fomentar el uso del transporte no motorizado;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VII. Proponer los parámetros a seguir en diseño de proyectos para la movilidad y el espacio público en cuanto a calidad, imagen urbana, mobiliario y otras que permitan mejorar la calidad del espacio público en un marco de sostenibilidad;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 xml:space="preserve">VIII.  </w:t>
      </w:r>
      <w:proofErr w:type="gramStart"/>
      <w:r w:rsidRPr="00456E46">
        <w:rPr>
          <w:rFonts w:cstheme="minorHAnsi"/>
        </w:rPr>
        <w:t>Emitir  opiniones</w:t>
      </w:r>
      <w:proofErr w:type="gramEnd"/>
      <w:r w:rsidRPr="00456E46">
        <w:rPr>
          <w:rFonts w:cstheme="minorHAnsi"/>
        </w:rPr>
        <w:t xml:space="preserve">  y  dictámenes  en  materia  de  espacio  público,  equipamiento  y mobiliario urbano a partir de los lineamientos y normativa vigente aplicable en la materia;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IX. Proporcionar estrategias que permitan el uso y aprovechamiento de espacios públicos integrados a la movilidad sostenible;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X. Proponer los lineamientos para mejorar la seguridad vial, priorizando la salvaguarda de los peatones, coadyuvar al cuidado del medio ambiente y hacer más eficientes los desplazamientos;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XI. Diseñar y proponer mecanismos para la accesibilidad e inclusión de personas con discapacidad y personas con movilidad limitada a los servicios públicos de transporte de pasajeros, así como su desplazamiento seguro y efectivo en las vías a través de infraestructura adecuada;</w:t>
      </w:r>
    </w:p>
    <w:p w:rsidR="00456E46" w:rsidRPr="00456E46" w:rsidRDefault="00456E46" w:rsidP="00456E46">
      <w:pPr>
        <w:rPr>
          <w:rFonts w:cstheme="minorHAnsi"/>
        </w:rPr>
      </w:pPr>
      <w:r w:rsidRPr="00456E46">
        <w:rPr>
          <w:rFonts w:cstheme="minorHAnsi"/>
        </w:rPr>
        <w:t>XII. Establecer los lineamientos del diseño vial que permita el tránsito seguro de todas las personas usuarias de la vía;</w:t>
      </w:r>
    </w:p>
    <w:p w:rsidR="00456E46" w:rsidRPr="00456E46" w:rsidRDefault="00456E46" w:rsidP="00456E46">
      <w:pPr>
        <w:rPr>
          <w:rFonts w:cstheme="minorHAnsi"/>
        </w:rPr>
      </w:pPr>
      <w:bookmarkStart w:id="0" w:name="_GoBack"/>
      <w:bookmarkEnd w:id="0"/>
      <w:r w:rsidRPr="00456E46">
        <w:rPr>
          <w:rFonts w:cstheme="minorHAnsi"/>
        </w:rPr>
        <w:t>XIII. En coordinación con otras dependencias y entidades, instrumentar programas y campañas de cultura de movilidad, que fomenten la prevención de los siniestros viales y cambios de hábitos hacia una movilidad sostenible y segura; y</w:t>
      </w:r>
    </w:p>
    <w:p w:rsidR="00EA2134" w:rsidRDefault="00456E46" w:rsidP="00456E46">
      <w:r w:rsidRPr="00456E46">
        <w:rPr>
          <w:rFonts w:cstheme="minorHAnsi"/>
        </w:rPr>
        <w:lastRenderedPageBreak/>
        <w:t xml:space="preserve">XIV.  </w:t>
      </w:r>
      <w:proofErr w:type="gramStart"/>
      <w:r w:rsidRPr="00456E46">
        <w:rPr>
          <w:rFonts w:cstheme="minorHAnsi"/>
        </w:rPr>
        <w:t>Las  que</w:t>
      </w:r>
      <w:proofErr w:type="gramEnd"/>
      <w:r w:rsidRPr="00456E46">
        <w:rPr>
          <w:rFonts w:cstheme="minorHAnsi"/>
        </w:rPr>
        <w:t xml:space="preserve">  le  ordene  la  persona  titular  de  la  Secretaría,  y  la  Dirección  General  de M</w:t>
      </w:r>
      <w:r>
        <w:t>ovilidad y Espacio Público.</w:t>
      </w:r>
    </w:p>
    <w:sectPr w:rsidR="00EA21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46"/>
    <w:rsid w:val="00456E46"/>
    <w:rsid w:val="00EA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A3883"/>
  <w15:chartTrackingRefBased/>
  <w15:docId w15:val="{D4C0C1A0-5552-47F0-BF1E-56063ECE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2022-03-15T17:07:00Z</dcterms:created>
  <dcterms:modified xsi:type="dcterms:W3CDTF">2022-03-15T17:08:00Z</dcterms:modified>
</cp:coreProperties>
</file>