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E5" w:rsidRDefault="00AF3EE5">
      <w:pPr>
        <w:spacing w:after="4" w:line="248" w:lineRule="auto"/>
        <w:ind w:left="-5" w:right="360" w:firstLine="0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p w:rsidR="00AF3EE5" w:rsidRDefault="005113DD">
      <w:pPr>
        <w:pStyle w:val="Ttulo2"/>
        <w:ind w:right="379"/>
        <w:rPr>
          <w:b/>
          <w:sz w:val="20"/>
          <w:szCs w:val="20"/>
        </w:rPr>
      </w:pPr>
      <w:r>
        <w:rPr>
          <w:b/>
          <w:sz w:val="20"/>
          <w:szCs w:val="20"/>
        </w:rPr>
        <w:t>AVISO DE PRIVACIDAD SIMPLIFICADO –  REVIVE EL CENTRO</w:t>
      </w:r>
    </w:p>
    <w:p w:rsidR="00AF3EE5" w:rsidRDefault="00AF3EE5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DATOS DEL RESPONSABLE DEL TRATAMIENTO</w:t>
      </w:r>
      <w:r>
        <w:rPr>
          <w:rFonts w:ascii="Calibri" w:eastAsia="Calibri" w:hAnsi="Calibri" w:cs="Calibri"/>
          <w:sz w:val="20"/>
          <w:szCs w:val="20"/>
        </w:rPr>
        <w:t xml:space="preserve">. El Municipio de Monterrey, a través de la Dirección General de Turismo es Cultura de la Secretaría de Desarrollo Económico del Municipio de Monterrey, N.L, con </w:t>
      </w:r>
      <w:r>
        <w:rPr>
          <w:rFonts w:ascii="Calibri" w:eastAsia="Calibri" w:hAnsi="Calibri" w:cs="Calibri"/>
          <w:sz w:val="20"/>
          <w:szCs w:val="20"/>
        </w:rPr>
        <w:t xml:space="preserve">domicilio en el </w:t>
      </w:r>
      <w:r>
        <w:rPr>
          <w:rFonts w:ascii="Calibri" w:eastAsia="Calibri" w:hAnsi="Calibri" w:cs="Calibri"/>
          <w:sz w:val="20"/>
          <w:szCs w:val="20"/>
        </w:rPr>
        <w:t>Museo de la Batalla de Monterrey, Sta. Lucia, Condominios La Finca, Centro, 64000 Monterrey, N.L.</w:t>
      </w:r>
    </w:p>
    <w:p w:rsidR="00AF3EE5" w:rsidRDefault="00AF3EE5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FINALIDADES.  </w:t>
      </w:r>
    </w:p>
    <w:p w:rsidR="00AF3EE5" w:rsidRDefault="005113DD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Principales.</w:t>
      </w:r>
      <w:r>
        <w:rPr>
          <w:rFonts w:ascii="Calibri" w:eastAsia="Calibri" w:hAnsi="Calibri" w:cs="Calibri"/>
          <w:sz w:val="20"/>
          <w:szCs w:val="20"/>
        </w:rPr>
        <w:t xml:space="preserve"> Sus datos personales son necesarios para contar con su consentimiento para la autorización de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sondeo, ranura, res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ane, pintura e instalación de luminaria(s) sobre la fachada del inmueble,</w:t>
      </w:r>
      <w:r>
        <w:rPr>
          <w:rFonts w:ascii="Calibri" w:eastAsia="Calibri" w:hAnsi="Calibri" w:cs="Calibri"/>
          <w:b/>
          <w:sz w:val="20"/>
          <w:szCs w:val="20"/>
        </w:rPr>
        <w:t xml:space="preserve"> que actualmente habita</w:t>
      </w:r>
      <w:r>
        <w:rPr>
          <w:rFonts w:ascii="Calibri" w:eastAsia="Calibri" w:hAnsi="Calibri" w:cs="Calibri"/>
          <w:sz w:val="20"/>
          <w:szCs w:val="20"/>
        </w:rPr>
        <w:t xml:space="preserve">, así como su consentimiento para difusión en redes sociales y/o </w:t>
      </w:r>
      <w:r>
        <w:rPr>
          <w:rFonts w:ascii="Calibri" w:eastAsia="Calibri" w:hAnsi="Calibri" w:cs="Calibri"/>
          <w:sz w:val="20"/>
          <w:szCs w:val="20"/>
        </w:rPr>
        <w:t>páginas</w:t>
      </w:r>
      <w:r>
        <w:rPr>
          <w:rFonts w:ascii="Calibri" w:eastAsia="Calibri" w:hAnsi="Calibri" w:cs="Calibri"/>
          <w:sz w:val="20"/>
          <w:szCs w:val="20"/>
        </w:rPr>
        <w:t xml:space="preserve"> oficiales del municipio de las imágenes fotográficas, videograbaciones y/o entrevistas </w:t>
      </w:r>
      <w:r>
        <w:rPr>
          <w:rFonts w:ascii="Calibri" w:eastAsia="Calibri" w:hAnsi="Calibri" w:cs="Calibri"/>
          <w:sz w:val="20"/>
          <w:szCs w:val="20"/>
        </w:rPr>
        <w:t>del Gobierno de la Ciudad de Monterrey, Nuevo León dentro del programa “</w:t>
      </w:r>
      <w:r>
        <w:rPr>
          <w:rFonts w:ascii="Calibri" w:eastAsia="Calibri" w:hAnsi="Calibri" w:cs="Calibri"/>
          <w:b/>
          <w:sz w:val="20"/>
          <w:szCs w:val="20"/>
        </w:rPr>
        <w:t>Revive el Centro”.</w:t>
      </w:r>
    </w:p>
    <w:p w:rsidR="00AF3EE5" w:rsidRDefault="00AF3EE5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b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Secundarias</w:t>
      </w:r>
      <w:r>
        <w:rPr>
          <w:rFonts w:ascii="Calibri" w:eastAsia="Calibri" w:hAnsi="Calibri" w:cs="Calibri"/>
          <w:sz w:val="20"/>
          <w:szCs w:val="20"/>
        </w:rPr>
        <w:t>. Llevar datos de control estadístico e informes.</w:t>
      </w:r>
    </w:p>
    <w:p w:rsidR="00AF3EE5" w:rsidRDefault="00AF3EE5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4" w:line="248" w:lineRule="auto"/>
        <w:ind w:left="-5" w:right="425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SITIO DONDE PUEDE CONSULTAR EL AVISO DE PRIVACIDAD INTEGRAL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  <w:u w:val="single"/>
        </w:rPr>
        <w:t>http://www.monterrey.gob.mx/transparencia</w:t>
      </w:r>
      <w:r>
        <w:rPr>
          <w:rFonts w:ascii="Calibri" w:eastAsia="Calibri" w:hAnsi="Calibri" w:cs="Calibri"/>
          <w:sz w:val="20"/>
          <w:szCs w:val="20"/>
          <w:u w:val="single"/>
        </w:rPr>
        <w:t>/AvisosDePrivacidad.html.</w:t>
      </w:r>
    </w:p>
    <w:p w:rsidR="00AF3EE5" w:rsidRDefault="00AF3EE5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MANIFESTACIÓN DE NEGATIVA PARA EL TRATAMIENTO DE SUS DATOS PERSONALES.</w:t>
      </w:r>
      <w:r>
        <w:rPr>
          <w:rFonts w:ascii="Calibri" w:eastAsia="Calibri" w:hAnsi="Calibri" w:cs="Calibri"/>
          <w:sz w:val="20"/>
          <w:szCs w:val="20"/>
        </w:rPr>
        <w:t xml:space="preserve"> Podrá manifestar su negativa de tratamiento de sus datos personales en las instalaciones de la Dirección G</w:t>
      </w:r>
      <w:r>
        <w:rPr>
          <w:rFonts w:ascii="Calibri" w:eastAsia="Calibri" w:hAnsi="Calibri" w:cs="Calibri"/>
          <w:sz w:val="20"/>
          <w:szCs w:val="20"/>
        </w:rPr>
        <w:t>eneral de Turismo es Cultura de la Secretaría de Des</w:t>
      </w:r>
      <w:r>
        <w:rPr>
          <w:rFonts w:ascii="Calibri" w:eastAsia="Calibri" w:hAnsi="Calibri" w:cs="Calibri"/>
          <w:sz w:val="20"/>
          <w:szCs w:val="20"/>
        </w:rPr>
        <w:t>arrollo Económico del Municipio de Monterrey, N.L, con domicilio en el Museo de la Batalla de Monterrey, Sta. Lucia, Condominios La Finca, Centro, 64000 Monterrey, N.L.,</w:t>
      </w:r>
      <w:r>
        <w:rPr>
          <w:rFonts w:ascii="Calibri" w:eastAsia="Calibri" w:hAnsi="Calibri" w:cs="Calibri"/>
          <w:sz w:val="20"/>
          <w:szCs w:val="20"/>
        </w:rPr>
        <w:t xml:space="preserve"> o bien, directamente ante la Unidad de Transparencia de la Administración Pública Cent</w:t>
      </w:r>
      <w:r>
        <w:rPr>
          <w:rFonts w:ascii="Calibri" w:eastAsia="Calibri" w:hAnsi="Calibri" w:cs="Calibri"/>
          <w:sz w:val="20"/>
          <w:szCs w:val="20"/>
        </w:rPr>
        <w:t xml:space="preserve">ralizada del Municipio de Monterrey (Dirección de Transparencia de la Contraloría Municipal), con domicilio en Hidalgo número 443, piso 1, en la colonia Centro, de Monterrey, Nuevo León, C.P. 64000, y/o por medio del correo electrónico: </w:t>
      </w:r>
      <w:hyperlink r:id="rId7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transparencia.soporte@monterrey.gob.mx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AF3EE5" w:rsidRDefault="00AF3EE5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4" w:line="248" w:lineRule="auto"/>
        <w:ind w:left="-5" w:right="36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TRANSFERENCIAS</w:t>
      </w:r>
      <w:r>
        <w:rPr>
          <w:rFonts w:ascii="Calibri" w:eastAsia="Calibri" w:hAnsi="Calibri" w:cs="Calibri"/>
          <w:sz w:val="20"/>
          <w:szCs w:val="20"/>
        </w:rPr>
        <w:t>. No se realizarán transferencias adicionales ni se comunicarán sus datos personales otorgados a este sujeto obligado, salvo aquéllas que sean necesarias para atender requerimientos debidamente fundados y motivados de información de una autoridad competent</w:t>
      </w:r>
      <w:r>
        <w:rPr>
          <w:rFonts w:ascii="Calibri" w:eastAsia="Calibri" w:hAnsi="Calibri" w:cs="Calibri"/>
          <w:sz w:val="20"/>
          <w:szCs w:val="20"/>
        </w:rPr>
        <w:t xml:space="preserve">e que así lo requiera tanto interna como externa al Municipio.  </w:t>
      </w:r>
    </w:p>
    <w:p w:rsidR="00AF3EE5" w:rsidRDefault="00AF3EE5">
      <w:pPr>
        <w:tabs>
          <w:tab w:val="left" w:pos="8789"/>
        </w:tabs>
        <w:spacing w:after="0" w:line="259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:rsidR="00AF3EE5" w:rsidRDefault="005113DD">
      <w:pPr>
        <w:tabs>
          <w:tab w:val="left" w:pos="8789"/>
        </w:tabs>
        <w:spacing w:after="0" w:line="259" w:lineRule="auto"/>
        <w:ind w:left="0" w:right="425" w:firstLine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DOMICILIO DE LA UNIDAD DE TRANSPARENCIA: </w:t>
      </w:r>
      <w:r>
        <w:rPr>
          <w:rFonts w:ascii="Calibri" w:eastAsia="Calibri" w:hAnsi="Calibri" w:cs="Calibri"/>
          <w:sz w:val="20"/>
          <w:szCs w:val="20"/>
        </w:rPr>
        <w:t>(Dirección de Transparencia de la Contraloría Municipal), con domicilio 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Hidalgo número 443, piso 1, en la colonia Centro, de Monterrey, Nuevo León, C.P. 64000</w:t>
      </w:r>
    </w:p>
    <w:p w:rsidR="00AF3EE5" w:rsidRDefault="005113DD">
      <w:pPr>
        <w:spacing w:after="31" w:line="259" w:lineRule="auto"/>
        <w:ind w:left="-29" w:right="-30" w:firstLine="0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88990" cy="18415"/>
                <wp:effectExtent l="0" t="0" r="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990" cy="18415"/>
                          <a:chOff x="2401500" y="3770775"/>
                          <a:chExt cx="5889000" cy="184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401505" y="3770793"/>
                            <a:ext cx="5888990" cy="18415"/>
                            <a:chOff x="0" y="0"/>
                            <a:chExt cx="58887" cy="182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88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3EE5" w:rsidRDefault="00AF3EE5">
                                <w:pPr>
                                  <w:spacing w:after="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0" y="0"/>
                              <a:ext cx="58887" cy="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88736" h="18288" extrusionOk="0">
                                  <a:moveTo>
                                    <a:pt x="0" y="0"/>
                                  </a:moveTo>
                                  <a:lnTo>
                                    <a:pt x="5888736" y="0"/>
                                  </a:lnTo>
                                  <a:lnTo>
                                    <a:pt x="5888736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8990" cy="1841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899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3EE5" w:rsidRDefault="005113DD">
      <w:pPr>
        <w:spacing w:after="47" w:line="248" w:lineRule="auto"/>
        <w:ind w:left="0" w:right="360" w:firstLine="0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</w:rPr>
        <w:t>Fecha de Cr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eación: 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11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/septiembre/2024</w:t>
      </w:r>
    </w:p>
    <w:p w:rsidR="00AF3EE5" w:rsidRDefault="00AF3EE5">
      <w:pPr>
        <w:spacing w:after="0" w:line="259" w:lineRule="auto"/>
        <w:ind w:left="0" w:right="0" w:firstLine="0"/>
        <w:jc w:val="left"/>
      </w:pPr>
    </w:p>
    <w:p w:rsidR="00AF3EE5" w:rsidRDefault="00AF3EE5">
      <w:pPr>
        <w:spacing w:after="0" w:line="259" w:lineRule="auto"/>
        <w:ind w:left="0" w:right="0" w:firstLine="0"/>
        <w:jc w:val="left"/>
      </w:pPr>
    </w:p>
    <w:sectPr w:rsidR="00AF3EE5">
      <w:headerReference w:type="default" r:id="rId9"/>
      <w:pgSz w:w="12240" w:h="15840"/>
      <w:pgMar w:top="1416" w:right="1324" w:bottom="1135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DD" w:rsidRDefault="005113DD">
      <w:pPr>
        <w:spacing w:after="0"/>
      </w:pPr>
      <w:r>
        <w:separator/>
      </w:r>
    </w:p>
  </w:endnote>
  <w:endnote w:type="continuationSeparator" w:id="0">
    <w:p w:rsidR="005113DD" w:rsidRDefault="00511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DD" w:rsidRDefault="005113DD">
      <w:pPr>
        <w:spacing w:after="0"/>
      </w:pPr>
      <w:r>
        <w:separator/>
      </w:r>
    </w:p>
  </w:footnote>
  <w:footnote w:type="continuationSeparator" w:id="0">
    <w:p w:rsidR="005113DD" w:rsidRDefault="005113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E5" w:rsidRDefault="005113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  <w:r>
      <w:rPr>
        <w:noProof/>
      </w:rPr>
      <w:drawing>
        <wp:inline distT="0" distB="0" distL="0" distR="0">
          <wp:extent cx="1536036" cy="810687"/>
          <wp:effectExtent l="0" t="0" r="0" b="0"/>
          <wp:docPr id="7" name="image1.png" descr="Sistema Logotipo Gob Monter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istema Logotipo Gob Monterrey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36" cy="81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E5"/>
    <w:rsid w:val="00325246"/>
    <w:rsid w:val="005113DD"/>
    <w:rsid w:val="00A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3D868-C080-4CD1-A990-968C6A4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es-MX" w:eastAsia="es-MX" w:bidi="ar-SA"/>
      </w:rPr>
    </w:rPrDefault>
    <w:pPrDefault>
      <w:pPr>
        <w:spacing w:after="2"/>
        <w:ind w:left="10" w:right="3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F3"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062CF3"/>
    <w:pPr>
      <w:keepNext/>
      <w:keepLines/>
      <w:spacing w:after="0"/>
      <w:ind w:hanging="10"/>
      <w:jc w:val="center"/>
      <w:outlineLvl w:val="0"/>
    </w:pPr>
    <w:rPr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rsid w:val="00062CF3"/>
    <w:pPr>
      <w:keepNext/>
      <w:keepLines/>
      <w:spacing w:after="0"/>
      <w:jc w:val="center"/>
      <w:outlineLvl w:val="1"/>
    </w:pPr>
    <w:rPr>
      <w:rFonts w:ascii="Calibri" w:eastAsia="Calibri" w:hAnsi="Calibri" w:cs="Calibri"/>
      <w:color w:val="000000"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rsid w:val="00062CF3"/>
    <w:rPr>
      <w:rFonts w:ascii="Calibri" w:eastAsia="Calibri" w:hAnsi="Calibri" w:cs="Calibri"/>
      <w:color w:val="000000"/>
      <w:sz w:val="16"/>
    </w:rPr>
  </w:style>
  <w:style w:type="character" w:customStyle="1" w:styleId="Ttulo1Car">
    <w:name w:val="Título 1 Car"/>
    <w:link w:val="Ttulo1"/>
    <w:rsid w:val="00062CF3"/>
    <w:rPr>
      <w:rFonts w:ascii="Arial" w:eastAsia="Arial" w:hAnsi="Arial" w:cs="Arial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623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623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6A04E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4EA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6A04E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4EA"/>
    <w:rPr>
      <w:rFonts w:ascii="Arial" w:eastAsia="Arial" w:hAnsi="Arial" w:cs="Arial"/>
      <w:color w:val="000000"/>
      <w:sz w:val="18"/>
    </w:rPr>
  </w:style>
  <w:style w:type="paragraph" w:styleId="Sinespaciado">
    <w:name w:val="No Spacing"/>
    <w:uiPriority w:val="1"/>
    <w:qFormat/>
    <w:rsid w:val="00303A24"/>
    <w:pPr>
      <w:spacing w:after="0"/>
    </w:pPr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38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8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88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8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88D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C645B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iKRpo3m7b9uHBqYZsm3bJ6c2xQ==">CgMxLjA4AGpUCjVzdWdnZXN0SWRJbXBvcnQxY2MyYmViZS04YWFmLTQxM2ItYWEzMi1lMGEyY2NhODQzMzNfMRIbS2FybGEgU29mw61hIENhc3RybyBDYXZhem9zciExd2doRFdRNFFFNFNBbzdDXy1BM1dXQkU5clhRdklaTkw=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Chavez Ramirez</dc:creator>
  <cp:lastModifiedBy>Juan Pablo Delgado Garza</cp:lastModifiedBy>
  <cp:revision>2</cp:revision>
  <dcterms:created xsi:type="dcterms:W3CDTF">2024-09-13T21:45:00Z</dcterms:created>
  <dcterms:modified xsi:type="dcterms:W3CDTF">2024-09-20T16:38:00Z</dcterms:modified>
</cp:coreProperties>
</file>